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center"/>
        <w:shd w:val="clear" w:fill="FFFFFF"/>
        <w:spacing w:lineRule="auto" w:line="240" w:before="0" w:after="0"/>
        <w:ind w:right="0" w:firstLine="0"/>
        <w:rPr>
          <w:spacing w:val="0"/>
          <w:i w:val="0"/>
          <w:b w:val="0"/>
          <w:color w:val="333333"/>
          <w:position w:val="0"/>
          <w:sz w:val="44"/>
          <w:szCs w:val="44"/>
          <w:rFonts w:ascii="黑体" w:eastAsia="黑体" w:hAnsi="黑体" w:hint="default"/>
        </w:rPr>
        <w:wordWrap w:val="off"/>
        <w:autoSpaceDE w:val="1"/>
        <w:autoSpaceDN w:val="1"/>
      </w:pPr>
      <w:r>
        <w:rPr>
          <w:spacing w:val="0"/>
          <w:i w:val="0"/>
          <w:b w:val="0"/>
          <w:color w:val="333333"/>
          <w:position w:val="0"/>
          <w:sz w:val="44"/>
          <w:szCs w:val="44"/>
          <w:rFonts w:ascii="黑体" w:eastAsia="黑体" w:hAnsi="黑体" w:hint="default"/>
        </w:rPr>
        <w:t>全国职业教育教学改革研究项目</w:t>
      </w:r>
    </w:p>
    <w:p>
      <w:pPr>
        <w:numPr>
          <w:ilvl w:val="0"/>
          <w:numId w:val="0"/>
        </w:numPr>
        <w:jc w:val="center"/>
        <w:shd w:val="clear" w:fill="FFFFFF"/>
        <w:spacing w:lineRule="auto" w:line="240" w:before="0" w:after="0"/>
        <w:ind w:right="0" w:firstLine="0"/>
        <w:rPr>
          <w:spacing w:val="0"/>
          <w:i w:val="0"/>
          <w:b w:val="0"/>
          <w:color w:val="333333"/>
          <w:position w:val="0"/>
          <w:sz w:val="44"/>
          <w:szCs w:val="44"/>
          <w:rFonts w:ascii="黑体" w:eastAsia="黑体" w:hAnsi="黑体" w:hint="default"/>
        </w:rPr>
        <w:wordWrap w:val="off"/>
        <w:autoSpaceDE w:val="1"/>
        <w:autoSpaceDN w:val="1"/>
      </w:pPr>
      <w:r>
        <w:rPr>
          <w:spacing w:val="0"/>
          <w:i w:val="0"/>
          <w:b w:val="0"/>
          <w:color w:val="333333"/>
          <w:position w:val="0"/>
          <w:sz w:val="44"/>
          <w:szCs w:val="44"/>
          <w:rFonts w:ascii="黑体" w:eastAsia="黑体" w:hAnsi="黑体" w:hint="default"/>
        </w:rPr>
        <w:t>管理办法</w:t>
      </w:r>
    </w:p>
    <w:p>
      <w:pPr>
        <w:pStyle w:val="PO5"/>
        <w:numPr>
          <w:ilvl w:val="0"/>
          <w:numId w:val="0"/>
        </w:numPr>
        <w:jc w:val="right"/>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color w:val="auto"/>
          <w:position w:val="0"/>
          <w:sz w:val="21"/>
          <w:szCs w:val="21"/>
          <w:rFonts w:ascii="Calibri" w:eastAsia="宋体" w:hAnsi="宋体" w:hint="default"/>
        </w:rPr>
        <w:t xml:space="preserve">                               职教改办【2019】1号</w:t>
      </w:r>
    </w:p>
    <w:p>
      <w:pPr>
        <w:pStyle w:val="PO5"/>
        <w:numPr>
          <w:ilvl w:val="0"/>
          <w:numId w:val="0"/>
        </w:numPr>
        <w:jc w:val="center"/>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第一章  总  则</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第一条 为进一步促进职业教育质量提升，贯彻职业教育教学改革创新工</w:t>
      </w:r>
      <w:r>
        <w:rPr>
          <w:rStyle w:val="PO5"/>
          <w:b w:val="0"/>
          <w:color w:val="auto"/>
          <w:position w:val="0"/>
          <w:sz w:val="28"/>
          <w:szCs w:val="28"/>
          <w:rFonts w:ascii="华文仿宋" w:eastAsia="华文仿宋" w:hAnsi="华文仿宋" w:hint="default"/>
        </w:rPr>
        <w:t>作精神,引导广大职业院校教师进一步加强教学研究和专业实践，提升职业</w:t>
      </w:r>
      <w:r>
        <w:rPr>
          <w:rStyle w:val="PO5"/>
          <w:b w:val="0"/>
          <w:color w:val="auto"/>
          <w:position w:val="0"/>
          <w:sz w:val="28"/>
          <w:szCs w:val="28"/>
          <w:rFonts w:ascii="华文仿宋" w:eastAsia="华文仿宋" w:hAnsi="华文仿宋" w:hint="default"/>
        </w:rPr>
        <w:t>素养,促进职业教育教学质量提高，结合我国职业教育教科研工作的实际情</w:t>
      </w:r>
      <w:r>
        <w:rPr>
          <w:rStyle w:val="PO5"/>
          <w:b w:val="0"/>
          <w:color w:val="auto"/>
          <w:position w:val="0"/>
          <w:sz w:val="28"/>
          <w:szCs w:val="28"/>
          <w:rFonts w:ascii="华文仿宋" w:eastAsia="华文仿宋" w:hAnsi="华文仿宋" w:hint="default"/>
        </w:rPr>
        <w:t>况，特设立全国职业教育教学改革研究项目，并制订本办法。</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第二条 全国职业教育教学改革研究项目，面向高等职业教育（含五年制</w:t>
      </w:r>
      <w:r>
        <w:rPr>
          <w:rStyle w:val="PO5"/>
          <w:b w:val="0"/>
          <w:color w:val="auto"/>
          <w:position w:val="0"/>
          <w:sz w:val="28"/>
          <w:szCs w:val="28"/>
          <w:rFonts w:ascii="华文仿宋" w:eastAsia="华文仿宋" w:hAnsi="华文仿宋" w:hint="default"/>
        </w:rPr>
        <w:t>高等职业教育）、中等职业教育和职业培训领域，以促进职业教育教学改</w:t>
      </w:r>
      <w:r>
        <w:rPr>
          <w:rStyle w:val="PO5"/>
          <w:b w:val="0"/>
          <w:color w:val="auto"/>
          <w:position w:val="0"/>
          <w:sz w:val="28"/>
          <w:szCs w:val="28"/>
          <w:rFonts w:ascii="华文仿宋" w:eastAsia="华文仿宋" w:hAnsi="华文仿宋" w:hint="default"/>
        </w:rPr>
        <w:t>革创新为核心，以职业教育教学改革的理论与实践问题为主要内容开展应</w:t>
      </w:r>
      <w:r>
        <w:rPr>
          <w:rStyle w:val="PO5"/>
          <w:b w:val="0"/>
          <w:color w:val="auto"/>
          <w:position w:val="0"/>
          <w:sz w:val="28"/>
          <w:szCs w:val="28"/>
          <w:rFonts w:ascii="华文仿宋" w:eastAsia="华文仿宋" w:hAnsi="华文仿宋" w:hint="default"/>
        </w:rPr>
        <w:t>用性研究。</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第三条 本项目设立全国职业教育教学改革研究项目管理办公室（经有关</w:t>
      </w:r>
      <w:r>
        <w:rPr>
          <w:rStyle w:val="PO5"/>
          <w:b w:val="0"/>
          <w:color w:val="auto"/>
          <w:position w:val="0"/>
          <w:sz w:val="28"/>
          <w:szCs w:val="28"/>
          <w:rFonts w:ascii="华文仿宋" w:eastAsia="华文仿宋" w:hAnsi="华文仿宋" w:hint="default"/>
        </w:rPr>
        <w:t>部门批准，印章经市公安局备案）。办公室负责对全国职业教育教学改革</w:t>
      </w:r>
      <w:r>
        <w:rPr>
          <w:rStyle w:val="PO5"/>
          <w:b w:val="0"/>
          <w:color w:val="auto"/>
          <w:position w:val="0"/>
          <w:sz w:val="28"/>
          <w:szCs w:val="28"/>
          <w:rFonts w:ascii="华文仿宋" w:eastAsia="华文仿宋" w:hAnsi="华文仿宋" w:hint="default"/>
        </w:rPr>
        <w:t>研究项目管理工作进行指导。编制课题指南、组织评审立项、实施日常管</w:t>
      </w:r>
      <w:r>
        <w:rPr>
          <w:rStyle w:val="PO5"/>
          <w:b w:val="0"/>
          <w:color w:val="auto"/>
          <w:position w:val="0"/>
          <w:sz w:val="28"/>
          <w:szCs w:val="28"/>
          <w:rFonts w:ascii="华文仿宋" w:eastAsia="华文仿宋" w:hAnsi="华文仿宋" w:hint="default"/>
        </w:rPr>
        <w:t>理、鉴定课题成果、推荐成果推广等工作。</w:t>
      </w:r>
    </w:p>
    <w:p>
      <w:pPr>
        <w:pStyle w:val="PO5"/>
        <w:numPr>
          <w:ilvl w:val="0"/>
          <w:numId w:val="0"/>
        </w:numPr>
        <w:jc w:val="center"/>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                第二章  项目设置与申报组织</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第四条 全国职业教育教学改革研究项目设立重点项目和一般项目，选题</w:t>
      </w:r>
      <w:r>
        <w:rPr>
          <w:rStyle w:val="PO5"/>
          <w:b w:val="0"/>
          <w:color w:val="auto"/>
          <w:position w:val="0"/>
          <w:sz w:val="28"/>
          <w:szCs w:val="28"/>
          <w:rFonts w:ascii="华文仿宋" w:eastAsia="华文仿宋" w:hAnsi="华文仿宋" w:hint="default"/>
        </w:rPr>
        <w:t>范围主要包括中、高等职业教育的专业设置、课程开发、教学方法与模式、</w:t>
      </w:r>
      <w:r>
        <w:rPr>
          <w:rStyle w:val="PO5"/>
          <w:b w:val="0"/>
          <w:color w:val="auto"/>
          <w:position w:val="0"/>
          <w:sz w:val="28"/>
          <w:szCs w:val="28"/>
          <w:rFonts w:ascii="华文仿宋" w:eastAsia="华文仿宋" w:hAnsi="华文仿宋" w:hint="default"/>
        </w:rPr>
        <w:t>资源建设、教学质量评价、教学保障以及职业培训的项目开发、培训模式、</w:t>
      </w:r>
      <w:r>
        <w:rPr>
          <w:rStyle w:val="PO5"/>
          <w:b w:val="0"/>
          <w:color w:val="auto"/>
          <w:position w:val="0"/>
          <w:sz w:val="28"/>
          <w:szCs w:val="28"/>
          <w:rFonts w:ascii="华文仿宋" w:eastAsia="华文仿宋" w:hAnsi="华文仿宋" w:hint="default"/>
        </w:rPr>
        <w:t>学习方式、培训手段与方法等。</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第五条 项目申报组织工作每年一次，主要面向全省高等职业技术学院、中</w:t>
      </w:r>
      <w:r>
        <w:rPr>
          <w:rStyle w:val="PO5"/>
          <w:b w:val="0"/>
          <w:color w:val="auto"/>
          <w:position w:val="0"/>
          <w:sz w:val="28"/>
          <w:szCs w:val="28"/>
          <w:rFonts w:ascii="华文仿宋" w:eastAsia="华文仿宋" w:hAnsi="华文仿宋" w:hint="default"/>
        </w:rPr>
        <w:t>等职业技术学校和职业培训机构的院（校）长、教师，以及专兼职教研人</w:t>
      </w:r>
      <w:r>
        <w:rPr>
          <w:rStyle w:val="PO5"/>
          <w:b w:val="0"/>
          <w:color w:val="auto"/>
          <w:position w:val="0"/>
          <w:sz w:val="28"/>
          <w:szCs w:val="28"/>
          <w:rFonts w:ascii="华文仿宋" w:eastAsia="华文仿宋" w:hAnsi="华文仿宋" w:hint="default"/>
        </w:rPr>
        <w:t>员。</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第六条 项目申请人应符合以下条件：</w:t>
      </w:r>
    </w:p>
    <w:p>
      <w:pPr>
        <w:pStyle w:val="PO5"/>
        <w:bidi w:val="0"/>
        <w:numPr>
          <w:ilvl w:val="0"/>
          <w:numId w:val="0"/>
        </w:numPr>
        <w:jc w:val="both"/>
        <w:spacing w:lineRule="auto" w:line="408" w:before="0" w:after="0"/>
        <w:pageBreakBefore w:val="0"/>
        <w:ind w:right="0" w:firstLine="0"/>
        <w:rPr>
          <w:rStyle w:val="PO5"/>
          <w:b w:val="0"/>
          <w:color w:val="auto"/>
          <w:position w:val="0"/>
          <w:sz w:val="28"/>
          <w:szCs w:val="28"/>
          <w:rFonts w:ascii="华文仿宋" w:eastAsia="华文仿宋" w:hAnsi="华文仿宋" w:hint="default"/>
        </w:rPr>
        <w:snapToGrid w:val="on"/>
        <w:autoSpaceDE w:val="0"/>
        <w:autoSpaceDN w:val="0"/>
      </w:pPr>
      <w:r>
        <w:rPr>
          <w:rStyle w:val="PO5"/>
          <w:b w:val="0"/>
          <w:color w:val="auto"/>
          <w:position w:val="0"/>
          <w:sz w:val="28"/>
          <w:szCs w:val="28"/>
          <w:rFonts w:ascii="华文仿宋" w:eastAsia="华文仿宋" w:hAnsi="华文仿宋" w:hint="default"/>
        </w:rPr>
        <w:t xml:space="preserve">   （一）申报人基本条件。项目申报人应具有良好的政治素质和思想道德</w:t>
      </w:r>
      <w:r>
        <w:rPr>
          <w:rStyle w:val="PO5"/>
          <w:b w:val="0"/>
          <w:color w:val="auto"/>
          <w:position w:val="0"/>
          <w:sz w:val="28"/>
          <w:szCs w:val="28"/>
          <w:rFonts w:ascii="华文仿宋" w:eastAsia="华文仿宋" w:hAnsi="华文仿宋" w:hint="default"/>
        </w:rPr>
        <w:t>品质，具有较强的教学研究能力，教书育人成绩突出。项目组应具有合理</w:t>
      </w:r>
      <w:r>
        <w:rPr>
          <w:rStyle w:val="PO5"/>
          <w:b w:val="0"/>
          <w:color w:val="auto"/>
          <w:position w:val="0"/>
          <w:sz w:val="28"/>
          <w:szCs w:val="28"/>
          <w:rFonts w:ascii="华文仿宋" w:eastAsia="华文仿宋" w:hAnsi="华文仿宋" w:hint="default"/>
        </w:rPr>
        <w:t>的研究人员结构，能够通力协作、按期完成项目研究任务。</w:t>
      </w:r>
    </w:p>
    <w:p>
      <w:pPr>
        <w:pStyle w:val="PO5"/>
        <w:bidi w:val="0"/>
        <w:numPr>
          <w:ilvl w:val="0"/>
          <w:numId w:val="0"/>
        </w:numPr>
        <w:jc w:val="both"/>
        <w:spacing w:lineRule="auto" w:line="408" w:before="0" w:after="0"/>
        <w:pageBreakBefore w:val="0"/>
        <w:ind w:right="0" w:firstLine="0"/>
        <w:rPr>
          <w:rStyle w:val="PO5"/>
          <w:b w:val="0"/>
          <w:color w:val="auto"/>
          <w:position w:val="0"/>
          <w:sz w:val="28"/>
          <w:szCs w:val="28"/>
          <w:rFonts w:ascii="华文仿宋" w:eastAsia="华文仿宋" w:hAnsi="华文仿宋" w:hint="default"/>
        </w:rPr>
        <w:snapToGrid w:val="on"/>
        <w:autoSpaceDE w:val="0"/>
        <w:autoSpaceDN w:val="0"/>
      </w:pPr>
      <w:r>
        <w:rPr>
          <w:rStyle w:val="PO5"/>
          <w:b w:val="0"/>
          <w:color w:val="auto"/>
          <w:position w:val="0"/>
          <w:sz w:val="28"/>
          <w:szCs w:val="28"/>
          <w:rFonts w:ascii="华文仿宋" w:eastAsia="华文仿宋" w:hAnsi="华文仿宋" w:hint="default"/>
        </w:rPr>
        <w:t xml:space="preserve">   （二）申报项目数量限定。项目申报人作为项目主持人可申报项目1项，</w:t>
      </w:r>
      <w:r>
        <w:rPr>
          <w:rStyle w:val="PO5"/>
          <w:b w:val="0"/>
          <w:color w:val="auto"/>
          <w:position w:val="0"/>
          <w:sz w:val="28"/>
          <w:szCs w:val="28"/>
          <w:rFonts w:ascii="华文仿宋" w:eastAsia="华文仿宋" w:hAnsi="华文仿宋" w:hint="default"/>
        </w:rPr>
        <w:t>作为项目参与人可申报项目不超过2项（含主持研究项目）。</w:t>
      </w:r>
    </w:p>
    <w:p>
      <w:pPr>
        <w:pStyle w:val="PO5"/>
        <w:bidi w:val="0"/>
        <w:numPr>
          <w:ilvl w:val="0"/>
          <w:numId w:val="0"/>
        </w:numPr>
        <w:jc w:val="both"/>
        <w:spacing w:lineRule="auto" w:line="408" w:before="0" w:after="0"/>
        <w:pageBreakBefore w:val="0"/>
        <w:ind w:right="0" w:firstLine="0"/>
        <w:rPr>
          <w:rStyle w:val="PO5"/>
          <w:b w:val="0"/>
          <w:color w:val="auto"/>
          <w:position w:val="0"/>
          <w:sz w:val="28"/>
          <w:szCs w:val="28"/>
          <w:rFonts w:ascii="华文仿宋" w:eastAsia="华文仿宋" w:hAnsi="华文仿宋" w:hint="default"/>
        </w:rPr>
        <w:snapToGrid w:val="on"/>
        <w:autoSpaceDE w:val="0"/>
        <w:autoSpaceDN w:val="0"/>
      </w:pPr>
      <w:r>
        <w:rPr>
          <w:rStyle w:val="PO5"/>
          <w:b w:val="0"/>
          <w:color w:val="auto"/>
          <w:position w:val="0"/>
          <w:sz w:val="28"/>
          <w:szCs w:val="28"/>
          <w:rFonts w:ascii="华文仿宋" w:eastAsia="华文仿宋" w:hAnsi="华文仿宋" w:hint="default"/>
        </w:rPr>
        <w:t xml:space="preserve">   （三）鼓励多单位合作。鼓励跨部门、跨学校、跨行业、跨专业联合</w:t>
      </w:r>
      <w:r>
        <w:rPr>
          <w:rStyle w:val="PO5"/>
          <w:b w:val="0"/>
          <w:color w:val="auto"/>
          <w:position w:val="0"/>
          <w:sz w:val="28"/>
          <w:szCs w:val="28"/>
          <w:rFonts w:ascii="华文仿宋" w:eastAsia="华文仿宋" w:hAnsi="华文仿宋" w:hint="default"/>
        </w:rPr>
        <w:t>申报研究项目。</w:t>
      </w:r>
    </w:p>
    <w:p>
      <w:pPr>
        <w:pStyle w:val="PO5"/>
        <w:bidi w:val="0"/>
        <w:numPr>
          <w:ilvl w:val="0"/>
          <w:numId w:val="0"/>
        </w:numPr>
        <w:jc w:val="both"/>
        <w:spacing w:lineRule="auto" w:line="408" w:before="0" w:after="0"/>
        <w:pageBreakBefore w:val="0"/>
        <w:ind w:right="0" w:firstLine="0"/>
        <w:rPr>
          <w:rStyle w:val="PO5"/>
          <w:b w:val="0"/>
          <w:color w:val="auto"/>
          <w:position w:val="0"/>
          <w:sz w:val="28"/>
          <w:szCs w:val="28"/>
          <w:rFonts w:ascii="华文仿宋" w:eastAsia="华文仿宋" w:hAnsi="华文仿宋" w:hint="default"/>
        </w:rPr>
        <w:snapToGrid w:val="on"/>
        <w:autoSpaceDE w:val="0"/>
        <w:autoSpaceDN w:val="0"/>
      </w:pPr>
      <w:r>
        <w:rPr>
          <w:rStyle w:val="PO5"/>
          <w:b w:val="0"/>
          <w:color w:val="auto"/>
          <w:position w:val="0"/>
          <w:sz w:val="28"/>
          <w:szCs w:val="28"/>
          <w:rFonts w:ascii="华文仿宋" w:eastAsia="华文仿宋" w:hAnsi="华文仿宋" w:hint="default"/>
        </w:rPr>
        <w:t xml:space="preserve">   （四）已列入世界智库（北京）自然科学研究院作为第三方单位受理</w:t>
      </w:r>
      <w:r>
        <w:rPr>
          <w:rStyle w:val="PO5"/>
          <w:b w:val="0"/>
          <w:color w:val="auto"/>
          <w:position w:val="0"/>
          <w:sz w:val="28"/>
          <w:szCs w:val="28"/>
          <w:rFonts w:ascii="华文仿宋" w:eastAsia="华文仿宋" w:hAnsi="华文仿宋" w:hint="default"/>
        </w:rPr>
        <w:t>立项的项目不再重复申报；已承担相关立项项目但未结项者不能申报；列</w:t>
      </w:r>
      <w:r>
        <w:rPr>
          <w:rStyle w:val="PO5"/>
          <w:b w:val="0"/>
          <w:color w:val="auto"/>
          <w:position w:val="0"/>
          <w:sz w:val="28"/>
          <w:szCs w:val="28"/>
          <w:rFonts w:ascii="华文仿宋" w:eastAsia="华文仿宋" w:hAnsi="华文仿宋" w:hint="default"/>
        </w:rPr>
        <w:t>入不良信用人员不能申报。</w:t>
      </w:r>
    </w:p>
    <w:p>
      <w:pPr>
        <w:pStyle w:val="PO5"/>
        <w:bidi w:val="0"/>
        <w:numPr>
          <w:ilvl w:val="0"/>
          <w:numId w:val="0"/>
        </w:numPr>
        <w:jc w:val="both"/>
        <w:spacing w:lineRule="auto" w:line="408" w:before="0" w:after="0"/>
        <w:pageBreakBefore w:val="0"/>
        <w:ind w:right="0" w:firstLine="0"/>
        <w:rPr>
          <w:rStyle w:val="PO5"/>
          <w:b w:val="0"/>
          <w:color w:val="auto"/>
          <w:position w:val="0"/>
          <w:sz w:val="28"/>
          <w:szCs w:val="28"/>
          <w:rFonts w:ascii="华文仿宋" w:eastAsia="华文仿宋" w:hAnsi="华文仿宋" w:hint="default"/>
        </w:rPr>
        <w:snapToGrid w:val="on"/>
        <w:autoSpaceDE w:val="0"/>
        <w:autoSpaceDN w:val="0"/>
      </w:pPr>
      <w:r>
        <w:rPr>
          <w:rStyle w:val="PO5"/>
          <w:b w:val="0"/>
          <w:color w:val="auto"/>
          <w:position w:val="0"/>
          <w:sz w:val="28"/>
          <w:szCs w:val="28"/>
          <w:rFonts w:ascii="华文仿宋" w:eastAsia="华文仿宋" w:hAnsi="华文仿宋" w:hint="default"/>
        </w:rPr>
        <w:t>　（五）主持人要求。有较强的教育教学研究能力，能负责研究的方案设</w:t>
      </w:r>
      <w:r>
        <w:rPr>
          <w:rStyle w:val="PO5"/>
          <w:b w:val="0"/>
          <w:color w:val="auto"/>
          <w:position w:val="0"/>
          <w:sz w:val="28"/>
          <w:szCs w:val="28"/>
          <w:rFonts w:ascii="华文仿宋" w:eastAsia="华文仿宋" w:hAnsi="华文仿宋" w:hint="default"/>
        </w:rPr>
        <w:t>计、调研论证、研究实施、总结评价、实践应用、经费使用等工作。</w:t>
      </w:r>
    </w:p>
    <w:p>
      <w:pPr>
        <w:pStyle w:val="PO5"/>
        <w:bidi w:val="0"/>
        <w:numPr>
          <w:ilvl w:val="0"/>
          <w:numId w:val="0"/>
        </w:numPr>
        <w:jc w:val="both"/>
        <w:spacing w:lineRule="auto" w:line="408" w:before="0" w:after="0"/>
        <w:pageBreakBefore w:val="0"/>
        <w:ind w:right="0" w:firstLine="0"/>
        <w:rPr>
          <w:rStyle w:val="PO5"/>
          <w:b w:val="0"/>
          <w:color w:val="auto"/>
          <w:position w:val="0"/>
          <w:sz w:val="28"/>
          <w:szCs w:val="28"/>
          <w:rFonts w:ascii="华文仿宋" w:eastAsia="华文仿宋" w:hAnsi="华文仿宋" w:hint="default"/>
        </w:rPr>
        <w:snapToGrid w:val="on"/>
        <w:autoSpaceDE w:val="0"/>
        <w:autoSpaceDN w:val="0"/>
      </w:pPr>
      <w:r>
        <w:rPr>
          <w:rStyle w:val="PO5"/>
          <w:b w:val="0"/>
          <w:color w:val="auto"/>
          <w:position w:val="0"/>
          <w:sz w:val="28"/>
          <w:szCs w:val="28"/>
          <w:rFonts w:ascii="华文仿宋" w:eastAsia="华文仿宋" w:hAnsi="华文仿宋" w:hint="default"/>
        </w:rPr>
        <w:t xml:space="preserve">   （六）参研人员要求。每项目参研人员限6人（不含主持人）。参研人</w:t>
      </w:r>
      <w:r>
        <w:rPr>
          <w:rStyle w:val="PO5"/>
          <w:b w:val="0"/>
          <w:color w:val="auto"/>
          <w:position w:val="0"/>
          <w:sz w:val="28"/>
          <w:szCs w:val="28"/>
          <w:rFonts w:ascii="华文仿宋" w:eastAsia="华文仿宋" w:hAnsi="华文仿宋" w:hint="default"/>
        </w:rPr>
        <w:t>员不得同时参与超过2个项目。</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第七条 项目申请人应根据申报评审书的要求，认真、如实填写材料，并送</w:t>
      </w:r>
      <w:r>
        <w:rPr>
          <w:rStyle w:val="PO5"/>
          <w:b w:val="0"/>
          <w:color w:val="auto"/>
          <w:position w:val="0"/>
          <w:sz w:val="28"/>
          <w:szCs w:val="28"/>
          <w:rFonts w:ascii="华文仿宋" w:eastAsia="华文仿宋" w:hAnsi="华文仿宋" w:hint="default"/>
        </w:rPr>
        <w:t>所在院校（单位）审核。项目申请人所在院校（单位）按本办法规定及相</w:t>
      </w:r>
      <w:r>
        <w:rPr>
          <w:rStyle w:val="PO5"/>
          <w:b w:val="0"/>
          <w:color w:val="auto"/>
          <w:position w:val="0"/>
          <w:sz w:val="28"/>
          <w:szCs w:val="28"/>
          <w:rFonts w:ascii="华文仿宋" w:eastAsia="华文仿宋" w:hAnsi="华文仿宋" w:hint="default"/>
        </w:rPr>
        <w:t>关通知要求进行审查，签署意见，并为立项课题提供必要的经费、设施设</w:t>
      </w:r>
      <w:r>
        <w:rPr>
          <w:rStyle w:val="PO5"/>
          <w:b w:val="0"/>
          <w:color w:val="auto"/>
          <w:position w:val="0"/>
          <w:sz w:val="28"/>
          <w:szCs w:val="28"/>
          <w:rFonts w:ascii="华文仿宋" w:eastAsia="华文仿宋" w:hAnsi="华文仿宋" w:hint="default"/>
        </w:rPr>
        <w:t>备、信息资料等研究保障条件。</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第八条 项目申请人所在单位签署意见后集中报送材料，不受理个人直接</w:t>
      </w:r>
      <w:r>
        <w:rPr>
          <w:rStyle w:val="PO5"/>
          <w:b w:val="0"/>
          <w:color w:val="auto"/>
          <w:position w:val="0"/>
          <w:sz w:val="28"/>
          <w:szCs w:val="28"/>
          <w:rFonts w:ascii="华文仿宋" w:eastAsia="华文仿宋" w:hAnsi="华文仿宋" w:hint="default"/>
        </w:rPr>
        <w:t>报送的课题申请材料。</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第九条 全国职业教育教学改革研究项目的研究周期为一年。所有项目逾期</w:t>
      </w:r>
      <w:r>
        <w:rPr>
          <w:rStyle w:val="PO5"/>
          <w:b w:val="0"/>
          <w:color w:val="auto"/>
          <w:position w:val="0"/>
          <w:sz w:val="28"/>
          <w:szCs w:val="28"/>
          <w:rFonts w:ascii="华文仿宋" w:eastAsia="华文仿宋" w:hAnsi="华文仿宋" w:hint="default"/>
        </w:rPr>
        <w:t>不结题者，按撤项处理，并将项目负责人列入不良信用名单。</w:t>
      </w:r>
    </w:p>
    <w:p>
      <w:pPr>
        <w:pStyle w:val="PO5"/>
        <w:numPr>
          <w:ilvl w:val="0"/>
          <w:numId w:val="0"/>
        </w:numPr>
        <w:jc w:val="center"/>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第三章  评审立项与日常管理</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第十条 项目申报的评审工作实行同行专家评审制，其程序为资格审查、匿</w:t>
      </w:r>
      <w:r>
        <w:rPr>
          <w:rStyle w:val="PO5"/>
          <w:b w:val="0"/>
          <w:color w:val="auto"/>
          <w:position w:val="0"/>
          <w:sz w:val="28"/>
          <w:szCs w:val="28"/>
          <w:rFonts w:ascii="华文仿宋" w:eastAsia="华文仿宋" w:hAnsi="华文仿宋" w:hint="default"/>
        </w:rPr>
        <w:t>名初评、会议评审、审核批准。凡申请项目的参与人员不参加当次项目评</w:t>
      </w:r>
      <w:r>
        <w:rPr>
          <w:rStyle w:val="PO5"/>
          <w:b w:val="0"/>
          <w:color w:val="auto"/>
          <w:position w:val="0"/>
          <w:sz w:val="28"/>
          <w:szCs w:val="28"/>
          <w:rFonts w:ascii="华文仿宋" w:eastAsia="华文仿宋" w:hAnsi="华文仿宋" w:hint="default"/>
        </w:rPr>
        <w:t>审工作。评审组专家和工作人员不得查询或透露应当保密的信息；评审结</w:t>
      </w:r>
      <w:r>
        <w:rPr>
          <w:rStyle w:val="PO5"/>
          <w:b w:val="0"/>
          <w:color w:val="auto"/>
          <w:position w:val="0"/>
          <w:sz w:val="28"/>
          <w:szCs w:val="28"/>
          <w:rFonts w:ascii="华文仿宋" w:eastAsia="华文仿宋" w:hAnsi="华文仿宋" w:hint="default"/>
        </w:rPr>
        <w:t>果正式公布前，不得对外泄露任何评审情况。</w:t>
      </w:r>
    </w:p>
    <w:p>
      <w:pPr>
        <w:bidi w:val="0"/>
        <w:numPr>
          <w:ilvl w:val="0"/>
          <w:numId w:val="0"/>
        </w:numPr>
        <w:jc w:val="both"/>
        <w:spacing w:lineRule="auto" w:line="372" w:before="0" w:after="0"/>
        <w:pageBreakBefore w:val="0"/>
        <w:ind w:right="0" w:firstLine="0"/>
        <w:rPr>
          <w:rStyle w:val="PO7"/>
          <w:spacing w:val="0"/>
          <w:b w:val="0"/>
          <w:color w:val="auto"/>
          <w:position w:val="0"/>
          <w:sz w:val="28"/>
          <w:szCs w:val="28"/>
          <w:rFonts w:ascii="华文仿宋" w:eastAsia="华文仿宋" w:hAnsi="华文仿宋" w:hint="default"/>
        </w:rPr>
        <w:snapToGrid w:val="off"/>
        <w:autoSpaceDE w:val="1"/>
        <w:autoSpaceDN w:val="1"/>
      </w:pPr>
      <w:r>
        <w:rPr>
          <w:rStyle w:val="PO7"/>
          <w:spacing w:val="0"/>
          <w:b w:val="0"/>
          <w:color w:val="auto"/>
          <w:position w:val="0"/>
          <w:sz w:val="28"/>
          <w:szCs w:val="28"/>
          <w:rFonts w:ascii="华文仿宋" w:eastAsia="华文仿宋" w:hAnsi="华文仿宋" w:hint="default"/>
        </w:rPr>
        <w:t xml:space="preserve">    立项原则</w:t>
      </w:r>
    </w:p>
    <w:p>
      <w:pPr>
        <w:bidi w:val="0"/>
        <w:numPr>
          <w:ilvl w:val="0"/>
          <w:numId w:val="0"/>
        </w:numPr>
        <w:jc w:val="both"/>
        <w:spacing w:lineRule="auto" w:line="372" w:before="0" w:after="0"/>
        <w:pageBreakBefore w:val="0"/>
        <w:ind w:right="0" w:firstLine="0"/>
        <w:rPr>
          <w:rStyle w:val="PO7"/>
          <w:spacing w:val="0"/>
          <w:b w:val="0"/>
          <w:color w:val="auto"/>
          <w:position w:val="0"/>
          <w:sz w:val="28"/>
          <w:szCs w:val="28"/>
          <w:rFonts w:ascii="华文仿宋" w:eastAsia="华文仿宋" w:hAnsi="华文仿宋" w:hint="default"/>
        </w:rPr>
        <w:snapToGrid w:val="on"/>
        <w:autoSpaceDE w:val="0"/>
        <w:autoSpaceDN w:val="0"/>
      </w:pPr>
      <w:r>
        <w:rPr>
          <w:rStyle w:val="PO7"/>
          <w:spacing w:val="0"/>
          <w:b w:val="0"/>
          <w:color w:val="auto"/>
          <w:position w:val="0"/>
          <w:sz w:val="28"/>
          <w:szCs w:val="28"/>
          <w:rFonts w:ascii="华文仿宋" w:eastAsia="华文仿宋" w:hAnsi="华文仿宋" w:hint="default"/>
        </w:rPr>
        <w:t xml:space="preserve">   （一）注重内容创新。申报项目应把握国内外理论前沿，体现当前职业</w:t>
      </w:r>
      <w:r>
        <w:rPr>
          <w:rStyle w:val="PO7"/>
          <w:spacing w:val="0"/>
          <w:b w:val="0"/>
          <w:color w:val="auto"/>
          <w:position w:val="0"/>
          <w:sz w:val="28"/>
          <w:szCs w:val="28"/>
          <w:rFonts w:ascii="华文仿宋" w:eastAsia="华文仿宋" w:hAnsi="华文仿宋" w:hint="default"/>
        </w:rPr>
        <w:t>教育政策新精神和新要求，具有创新性，能够引领现代职业教育发展。</w:t>
      </w:r>
    </w:p>
    <w:p>
      <w:pPr>
        <w:bidi w:val="0"/>
        <w:numPr>
          <w:ilvl w:val="0"/>
          <w:numId w:val="0"/>
        </w:numPr>
        <w:jc w:val="both"/>
        <w:spacing w:lineRule="auto" w:line="372" w:before="0" w:after="0"/>
        <w:pageBreakBefore w:val="0"/>
        <w:ind w:right="0" w:firstLine="0"/>
        <w:rPr>
          <w:rStyle w:val="PO7"/>
          <w:spacing w:val="0"/>
          <w:b w:val="0"/>
          <w:color w:val="auto"/>
          <w:position w:val="0"/>
          <w:sz w:val="28"/>
          <w:szCs w:val="28"/>
          <w:rFonts w:ascii="华文仿宋" w:eastAsia="华文仿宋" w:hAnsi="华文仿宋" w:hint="default"/>
        </w:rPr>
        <w:snapToGrid w:val="on"/>
        <w:autoSpaceDE w:val="0"/>
        <w:autoSpaceDN w:val="0"/>
      </w:pPr>
      <w:r>
        <w:rPr>
          <w:rStyle w:val="PO7"/>
          <w:spacing w:val="0"/>
          <w:b w:val="0"/>
          <w:color w:val="auto"/>
          <w:position w:val="0"/>
          <w:sz w:val="28"/>
          <w:szCs w:val="28"/>
          <w:rFonts w:ascii="华文仿宋" w:eastAsia="华文仿宋" w:hAnsi="华文仿宋" w:hint="default"/>
        </w:rPr>
        <w:t xml:space="preserve">   （二）注重研究成效。理论研究要有新突破，引领和推动职业教育教学</w:t>
      </w:r>
      <w:r>
        <w:rPr>
          <w:rStyle w:val="PO7"/>
          <w:spacing w:val="0"/>
          <w:b w:val="0"/>
          <w:color w:val="auto"/>
          <w:position w:val="0"/>
          <w:sz w:val="28"/>
          <w:szCs w:val="28"/>
          <w:rFonts w:ascii="华文仿宋" w:eastAsia="华文仿宋" w:hAnsi="华文仿宋" w:hint="default"/>
        </w:rPr>
        <w:t>改革；实践探索出成果，有效解决当前职业教育教学改革热点、重点、难</w:t>
      </w:r>
      <w:r>
        <w:rPr>
          <w:rStyle w:val="PO7"/>
          <w:spacing w:val="0"/>
          <w:b w:val="0"/>
          <w:color w:val="auto"/>
          <w:position w:val="0"/>
          <w:sz w:val="28"/>
          <w:szCs w:val="28"/>
          <w:rFonts w:ascii="华文仿宋" w:eastAsia="华文仿宋" w:hAnsi="华文仿宋" w:hint="default"/>
        </w:rPr>
        <w:t>点和瓶颈问题，能够进一步推广和扩大成果的实践应用。</w:t>
      </w:r>
    </w:p>
    <w:p>
      <w:pPr>
        <w:bidi w:val="0"/>
        <w:numPr>
          <w:ilvl w:val="0"/>
          <w:numId w:val="0"/>
        </w:numPr>
        <w:jc w:val="both"/>
        <w:spacing w:lineRule="auto" w:line="372" w:before="0" w:after="0"/>
        <w:pageBreakBefore w:val="0"/>
        <w:ind w:right="0" w:firstLine="0"/>
        <w:rPr>
          <w:rStyle w:val="PO5"/>
          <w:b w:val="0"/>
          <w:color w:val="auto"/>
          <w:position w:val="0"/>
          <w:sz w:val="28"/>
          <w:szCs w:val="28"/>
          <w:rFonts w:ascii="华文仿宋" w:eastAsia="华文仿宋" w:hAnsi="华文仿宋" w:hint="default"/>
        </w:rPr>
        <w:snapToGrid w:val="on"/>
        <w:autoSpaceDE w:val="0"/>
        <w:autoSpaceDN w:val="0"/>
      </w:pPr>
      <w:r>
        <w:rPr>
          <w:rStyle w:val="PO7"/>
          <w:spacing w:val="0"/>
          <w:b w:val="0"/>
          <w:color w:val="auto"/>
          <w:position w:val="0"/>
          <w:sz w:val="28"/>
          <w:szCs w:val="28"/>
          <w:rFonts w:ascii="华文仿宋" w:eastAsia="华文仿宋" w:hAnsi="华文仿宋" w:hint="default"/>
        </w:rPr>
        <w:t xml:space="preserve">   （三）具备研究能力。申报项目要论证充分，研究目标明确、思路清</w:t>
      </w:r>
      <w:r>
        <w:rPr>
          <w:rStyle w:val="PO7"/>
          <w:spacing w:val="0"/>
          <w:b w:val="0"/>
          <w:color w:val="auto"/>
          <w:position w:val="0"/>
          <w:sz w:val="28"/>
          <w:szCs w:val="28"/>
          <w:rFonts w:ascii="华文仿宋" w:eastAsia="华文仿宋" w:hAnsi="华文仿宋" w:hint="default"/>
        </w:rPr>
        <w:t>晰，研究计划切实可行，实施方法科学合理，具备完成项目任务的研究基</w:t>
      </w:r>
      <w:r>
        <w:rPr>
          <w:rStyle w:val="PO7"/>
          <w:spacing w:val="0"/>
          <w:b w:val="0"/>
          <w:color w:val="auto"/>
          <w:position w:val="0"/>
          <w:sz w:val="28"/>
          <w:szCs w:val="28"/>
          <w:rFonts w:ascii="华文仿宋" w:eastAsia="华文仿宋" w:hAnsi="华文仿宋" w:hint="default"/>
        </w:rPr>
        <w:t>础、研究团队等基本条件。</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第十一条 立项项目的名单经审定并公布后，项目申请人即为项目负责人。</w:t>
      </w:r>
      <w:r>
        <w:rPr>
          <w:rStyle w:val="PO5"/>
          <w:b w:val="0"/>
          <w:color w:val="auto"/>
          <w:position w:val="0"/>
          <w:sz w:val="28"/>
          <w:szCs w:val="28"/>
          <w:rFonts w:ascii="华文仿宋" w:eastAsia="华文仿宋" w:hAnsi="华文仿宋" w:hint="default"/>
        </w:rPr>
        <w:t>由全国职业教育教学改革研究项目管理办公室予以颁发立项证书。项目负</w:t>
      </w:r>
      <w:r>
        <w:rPr>
          <w:rStyle w:val="PO5"/>
          <w:b w:val="0"/>
          <w:color w:val="auto"/>
          <w:position w:val="0"/>
          <w:sz w:val="28"/>
          <w:szCs w:val="28"/>
          <w:rFonts w:ascii="华文仿宋" w:eastAsia="华文仿宋" w:hAnsi="华文仿宋" w:hint="default"/>
        </w:rPr>
        <w:t>责人接到立项证书后，应尽快确定项目实施方案，在两个月内组织开题，</w:t>
      </w:r>
      <w:r>
        <w:rPr>
          <w:rStyle w:val="PO5"/>
          <w:b w:val="0"/>
          <w:color w:val="auto"/>
          <w:position w:val="0"/>
          <w:sz w:val="28"/>
          <w:szCs w:val="28"/>
          <w:rFonts w:ascii="华文仿宋" w:eastAsia="华文仿宋" w:hAnsi="华文仿宋" w:hint="default"/>
        </w:rPr>
        <w:t>立项项目的研究经费由项目负责人所在单位视经费情况予以资助。</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第十二条 项目实行分级管理。全国职业教育教学改革研究项目管理办公室</w:t>
      </w:r>
      <w:r>
        <w:rPr>
          <w:rStyle w:val="PO5"/>
          <w:b w:val="0"/>
          <w:color w:val="auto"/>
          <w:position w:val="0"/>
          <w:sz w:val="28"/>
          <w:szCs w:val="28"/>
          <w:rFonts w:ascii="华文仿宋" w:eastAsia="华文仿宋" w:hAnsi="华文仿宋" w:hint="default"/>
        </w:rPr>
        <w:t>对项目进行全面管理。申报人所属单位负责所属范围内相关项目的日常管</w:t>
      </w:r>
      <w:r>
        <w:rPr>
          <w:rStyle w:val="PO5"/>
          <w:b w:val="0"/>
          <w:color w:val="auto"/>
          <w:position w:val="0"/>
          <w:sz w:val="28"/>
          <w:szCs w:val="28"/>
          <w:rFonts w:ascii="华文仿宋" w:eastAsia="华文仿宋" w:hAnsi="华文仿宋" w:hint="default"/>
        </w:rPr>
        <w:t>理，督促项目按要求如期完成研究任务，监督可能发生的违法违规行为，</w:t>
      </w:r>
      <w:r>
        <w:rPr>
          <w:rStyle w:val="PO5"/>
          <w:b w:val="0"/>
          <w:color w:val="auto"/>
          <w:position w:val="0"/>
          <w:sz w:val="28"/>
          <w:szCs w:val="28"/>
          <w:rFonts w:ascii="华文仿宋" w:eastAsia="华文仿宋" w:hAnsi="华文仿宋" w:hint="default"/>
        </w:rPr>
        <w:t>并作出及时处理和汇报。</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第十三条 对负责人因工作调动、出国等不能继续研究的项目或存在违法、</w:t>
      </w:r>
      <w:r>
        <w:rPr>
          <w:rStyle w:val="PO5"/>
          <w:b w:val="0"/>
          <w:color w:val="auto"/>
          <w:position w:val="0"/>
          <w:sz w:val="28"/>
          <w:szCs w:val="28"/>
          <w:rFonts w:ascii="华文仿宋" w:eastAsia="华文仿宋" w:hAnsi="华文仿宋" w:hint="default"/>
        </w:rPr>
        <w:t>违规行为的项目，负责人所在院校（单位）应及时通知全国职业教育教学</w:t>
      </w:r>
      <w:r>
        <w:rPr>
          <w:rStyle w:val="PO5"/>
          <w:b w:val="0"/>
          <w:color w:val="auto"/>
          <w:position w:val="0"/>
          <w:sz w:val="28"/>
          <w:szCs w:val="28"/>
          <w:rFonts w:ascii="华文仿宋" w:eastAsia="华文仿宋" w:hAnsi="华文仿宋" w:hint="default"/>
        </w:rPr>
        <w:t>改革研究项目管理办公室作出撤销或中止的决定。负责人所在院校（单位）</w:t>
      </w:r>
      <w:r>
        <w:rPr>
          <w:rStyle w:val="PO5"/>
          <w:b w:val="0"/>
          <w:color w:val="auto"/>
          <w:position w:val="0"/>
          <w:sz w:val="28"/>
          <w:szCs w:val="28"/>
          <w:rFonts w:ascii="华文仿宋" w:eastAsia="华文仿宋" w:hAnsi="华文仿宋" w:hint="default"/>
        </w:rPr>
        <w:t>应根据决定内容及时停止拨款或追缴已拨经费，被撤销项目的负责人四年</w:t>
      </w:r>
      <w:r>
        <w:rPr>
          <w:rStyle w:val="PO5"/>
          <w:b w:val="0"/>
          <w:color w:val="auto"/>
          <w:position w:val="0"/>
          <w:sz w:val="28"/>
          <w:szCs w:val="28"/>
          <w:rFonts w:ascii="华文仿宋" w:eastAsia="华文仿宋" w:hAnsi="华文仿宋" w:hint="default"/>
        </w:rPr>
        <w:t>内不得申请新项目。</w:t>
      </w:r>
    </w:p>
    <w:p>
      <w:pPr>
        <w:pStyle w:val="PO5"/>
        <w:numPr>
          <w:ilvl w:val="0"/>
          <w:numId w:val="0"/>
        </w:numPr>
        <w:jc w:val="center"/>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第四章  成果要求与鉴定结项</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第十四条 项目成果不仅应具有较高的理论水平，而且应具有较强的实践</w:t>
      </w:r>
      <w:r>
        <w:rPr>
          <w:rStyle w:val="PO5"/>
          <w:b w:val="0"/>
          <w:color w:val="auto"/>
          <w:position w:val="0"/>
          <w:sz w:val="28"/>
          <w:szCs w:val="28"/>
          <w:rFonts w:ascii="华文仿宋" w:eastAsia="华文仿宋" w:hAnsi="华文仿宋" w:hint="default"/>
        </w:rPr>
        <w:t>价值，能对推进我国职业教育教学改革发挥切实作用。成果形式包括研究</w:t>
      </w:r>
      <w:r>
        <w:rPr>
          <w:rStyle w:val="PO5"/>
          <w:b w:val="0"/>
          <w:color w:val="auto"/>
          <w:position w:val="0"/>
          <w:sz w:val="28"/>
          <w:szCs w:val="28"/>
          <w:rFonts w:ascii="华文仿宋" w:eastAsia="华文仿宋" w:hAnsi="华文仿宋" w:hint="default"/>
        </w:rPr>
        <w:t>报告、学术论文，以及课程教学产品和相关制度文件等。课题成果在发表、</w:t>
      </w:r>
      <w:r>
        <w:rPr>
          <w:rStyle w:val="PO5"/>
          <w:b w:val="0"/>
          <w:color w:val="auto"/>
          <w:position w:val="0"/>
          <w:sz w:val="28"/>
          <w:szCs w:val="28"/>
          <w:rFonts w:ascii="华文仿宋" w:eastAsia="华文仿宋" w:hAnsi="华文仿宋" w:hint="default"/>
        </w:rPr>
        <w:t>出版或向有关领导部门报送时，应在醒目位置标明项目名称、立项单位、立</w:t>
      </w:r>
      <w:r>
        <w:rPr>
          <w:rStyle w:val="PO5"/>
          <w:b w:val="0"/>
          <w:color w:val="auto"/>
          <w:position w:val="0"/>
          <w:sz w:val="28"/>
          <w:szCs w:val="28"/>
          <w:rFonts w:ascii="华文仿宋" w:eastAsia="华文仿宋" w:hAnsi="华文仿宋" w:hint="default"/>
        </w:rPr>
        <w:t>项类别及课题批准号等信息。</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第十五条 项目的最终成果均须进行鉴定，通过鉴定后由全国职业教育教</w:t>
      </w:r>
      <w:r>
        <w:rPr>
          <w:rStyle w:val="PO5"/>
          <w:b w:val="0"/>
          <w:color w:val="auto"/>
          <w:position w:val="0"/>
          <w:sz w:val="28"/>
          <w:szCs w:val="28"/>
          <w:rFonts w:ascii="华文仿宋" w:eastAsia="华文仿宋" w:hAnsi="华文仿宋" w:hint="default"/>
        </w:rPr>
        <w:t>学改革研究项目管理办公室予以验收结题并颁发结题证书。</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第十六条 成果鉴定要求：</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1.项目成果鉴定原则上采取同行专家会议鉴定或通讯鉴定的方式。每个项目</w:t>
      </w:r>
      <w:r>
        <w:rPr>
          <w:rStyle w:val="PO5"/>
          <w:b w:val="0"/>
          <w:color w:val="auto"/>
          <w:position w:val="0"/>
          <w:sz w:val="28"/>
          <w:szCs w:val="28"/>
          <w:rFonts w:ascii="华文仿宋" w:eastAsia="华文仿宋" w:hAnsi="华文仿宋" w:hint="default"/>
        </w:rPr>
        <w:t>的鉴定专家一般为5-7人，具体人数视情况而定。</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2.项目组提供的鉴定材料，应包括《全国职业教育教学改革研究项目成果</w:t>
      </w:r>
      <w:r>
        <w:rPr>
          <w:rStyle w:val="PO5"/>
          <w:b w:val="0"/>
          <w:color w:val="auto"/>
          <w:position w:val="0"/>
          <w:sz w:val="28"/>
          <w:szCs w:val="28"/>
          <w:rFonts w:ascii="华文仿宋" w:eastAsia="华文仿宋" w:hAnsi="华文仿宋" w:hint="default"/>
        </w:rPr>
        <w:t>鉴定申请书》、研究成果主件、必要的附件及项目立项书书复印件各3份。</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3.项目鉴定专家应对成果提出客观、公正、全面的鉴定意见和评定等级，并</w:t>
      </w:r>
      <w:r>
        <w:rPr>
          <w:rStyle w:val="PO5"/>
          <w:b w:val="0"/>
          <w:color w:val="auto"/>
          <w:position w:val="0"/>
          <w:sz w:val="28"/>
          <w:szCs w:val="28"/>
          <w:rFonts w:ascii="华文仿宋" w:eastAsia="华文仿宋" w:hAnsi="华文仿宋" w:hint="default"/>
        </w:rPr>
        <w:t>由全国职业教育教学改革研究项目管理办公室委托世界智库（北京）自然</w:t>
      </w:r>
      <w:r>
        <w:rPr>
          <w:rStyle w:val="PO5"/>
          <w:b w:val="0"/>
          <w:color w:val="auto"/>
          <w:position w:val="0"/>
          <w:sz w:val="28"/>
          <w:szCs w:val="28"/>
          <w:rFonts w:ascii="华文仿宋" w:eastAsia="华文仿宋" w:hAnsi="华文仿宋" w:hint="default"/>
        </w:rPr>
        <w:t>科学研究院以第三方评价单位方式组织实施。</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4.由第三方评价单位根据鉴定项目情况组织聘请项目鉴定专家，组织实施</w:t>
      </w:r>
      <w:r>
        <w:rPr>
          <w:rStyle w:val="PO5"/>
          <w:b w:val="0"/>
          <w:color w:val="auto"/>
          <w:position w:val="0"/>
          <w:sz w:val="28"/>
          <w:szCs w:val="28"/>
          <w:rFonts w:ascii="华文仿宋" w:eastAsia="华文仿宋" w:hAnsi="华文仿宋" w:hint="default"/>
        </w:rPr>
        <w:t>项目评审鉴定工作，并向专家支付鉴定费及相关费用。</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5.项目实施第三方评价，由第三方单位向项目组收取项目鉴定费，每项</w:t>
      </w:r>
      <w:r>
        <w:rPr>
          <w:rStyle w:val="PO5"/>
          <w:b w:val="0"/>
          <w:color w:val="auto"/>
          <w:position w:val="0"/>
          <w:sz w:val="28"/>
          <w:szCs w:val="28"/>
          <w:rFonts w:ascii="华文仿宋" w:eastAsia="华文仿宋" w:hAnsi="华文仿宋" w:hint="default"/>
        </w:rPr>
        <w:t>目鉴定费800元，并提供北京增值税发票。</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                      第五章  成果转化 </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    为加强项目成果的宣传、推广和转化，促进成果共享，充分发挥其在</w:t>
      </w:r>
      <w:r>
        <w:rPr>
          <w:rStyle w:val="PO5"/>
          <w:b w:val="0"/>
          <w:color w:val="auto"/>
          <w:position w:val="0"/>
          <w:sz w:val="28"/>
          <w:szCs w:val="28"/>
          <w:rFonts w:ascii="华文仿宋" w:eastAsia="华文仿宋" w:hAnsi="华文仿宋" w:hint="default"/>
        </w:rPr>
        <w:t>职业教育教学改革实践和促进职业院校教师专业发展中的作用。全国职业</w:t>
      </w:r>
      <w:r>
        <w:rPr>
          <w:rStyle w:val="PO5"/>
          <w:b w:val="0"/>
          <w:color w:val="auto"/>
          <w:position w:val="0"/>
          <w:sz w:val="28"/>
          <w:szCs w:val="28"/>
          <w:rFonts w:ascii="华文仿宋" w:eastAsia="华文仿宋" w:hAnsi="华文仿宋" w:hint="default"/>
        </w:rPr>
        <w:t>教育教学改革研究项目管理办公室有权对项目成果在网络教学资源建设中</w:t>
      </w:r>
      <w:r>
        <w:rPr>
          <w:rStyle w:val="PO5"/>
          <w:b w:val="0"/>
          <w:color w:val="auto"/>
          <w:position w:val="0"/>
          <w:sz w:val="28"/>
          <w:szCs w:val="28"/>
          <w:rFonts w:ascii="华文仿宋" w:eastAsia="华文仿宋" w:hAnsi="华文仿宋" w:hint="default"/>
        </w:rPr>
        <w:t>进行使用，项目组人员拥有其成果的署名权。</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    通过全国职业教育教学改革研究项目通过结项的研究成果，推荐参加</w:t>
      </w:r>
      <w:r>
        <w:rPr>
          <w:rStyle w:val="PO5"/>
          <w:b w:val="0"/>
          <w:color w:val="auto"/>
          <w:position w:val="0"/>
          <w:sz w:val="28"/>
          <w:szCs w:val="28"/>
          <w:rFonts w:ascii="华文仿宋" w:eastAsia="华文仿宋" w:hAnsi="华文仿宋" w:hint="default"/>
        </w:rPr>
        <w:t>《全国职业教育优秀成果奖》的评选，由全国职业教育优秀成果奖评选委</w:t>
      </w:r>
      <w:r>
        <w:rPr>
          <w:rStyle w:val="PO5"/>
          <w:b w:val="0"/>
          <w:color w:val="auto"/>
          <w:position w:val="0"/>
          <w:sz w:val="28"/>
          <w:szCs w:val="28"/>
          <w:rFonts w:ascii="华文仿宋" w:eastAsia="华文仿宋" w:hAnsi="华文仿宋" w:hint="default"/>
        </w:rPr>
        <w:t>员会颁发获奖证书。</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    本项目结项成果参加成果奖评奖，不收取评审费。</w:t>
      </w:r>
    </w:p>
    <w:p>
      <w:pPr>
        <w:pStyle w:val="PO5"/>
        <w:numPr>
          <w:ilvl w:val="0"/>
          <w:numId w:val="0"/>
        </w:numPr>
        <w:jc w:val="center"/>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第六章  附  则</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第十八条 本办法自颁行之日起施行，其解释权和修改权属于全国职业教</w:t>
      </w:r>
      <w:r>
        <w:rPr>
          <w:rStyle w:val="PO5"/>
          <w:b w:val="0"/>
          <w:color w:val="auto"/>
          <w:position w:val="0"/>
          <w:sz w:val="28"/>
          <w:szCs w:val="28"/>
          <w:rFonts w:ascii="华文仿宋" w:eastAsia="华文仿宋" w:hAnsi="华文仿宋" w:hint="default"/>
        </w:rPr>
        <w:t>育教学改革研究项目管理办公室。</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r>
        <w:rPr>
          <w:rStyle w:val="PO5"/>
          <w:b w:val="0"/>
          <w:color w:val="auto"/>
          <w:position w:val="0"/>
          <w:sz w:val="28"/>
          <w:szCs w:val="28"/>
          <w:rFonts w:ascii="华文仿宋" w:eastAsia="华文仿宋" w:hAnsi="华文仿宋" w:hint="default"/>
        </w:rPr>
        <w:t xml:space="preserve"> </w:t>
      </w:r>
    </w:p>
    <w:p>
      <w:pPr>
        <w:pStyle w:val="PO5"/>
        <w:numPr>
          <w:ilvl w:val="0"/>
          <w:numId w:val="0"/>
        </w:numPr>
        <w:jc w:val="both"/>
        <w:shd w:val="clear" w:fill="FFFFFF"/>
        <w:spacing w:lineRule="auto" w:line="408" w:before="0" w:after="0"/>
        <w:ind w:right="0" w:firstLine="0"/>
        <w:rPr>
          <w:rStyle w:val="PO5"/>
          <w:b w:val="0"/>
          <w:color w:val="auto"/>
          <w:position w:val="0"/>
          <w:sz w:val="28"/>
          <w:szCs w:val="28"/>
          <w:rFonts w:ascii="华文仿宋" w:eastAsia="华文仿宋" w:hAnsi="华文仿宋" w:hint="default"/>
        </w:rPr>
        <w:autoSpaceDE w:val="1"/>
        <w:autoSpaceDN w:val="1"/>
      </w:pPr>
    </w:p>
    <w:sectPr>
      <w:footnotePr>
        <w:numFmt w:val="decimal"/>
        <w:numRestart w:val="continuous"/>
        <w:numStart w:val="1"/>
        <w:pos w:val="pageBottom"/>
      </w:footnotePr>
      <w:endnotePr>
        <w:numFmt w:val="lowerRoman"/>
        <w:numRestart w:val="continuous"/>
        <w:numStart w:val="1"/>
        <w:pos w:val="docEnd"/>
      </w:endnotePr>
      <w:pgSz w:w="11906" w:h="16838"/>
      <w:pgMar w:top="1701" w:left="1440" w:bottom="1440" w:right="1440" w:header="708" w:footer="708" w:gutter="0"/>
      <w:pgNumType w:fmt="decimal"/>
      <w:docGrid w:type="default" w:linePitch="360" w:charSpace="6144"/>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黑体">
    <w:panose1 w:val="020F0502020204030204"/>
    <w:charset w:val="0"/>
    <w:family w:val="mordern"/>
    <w:pitch w:val="variable"/>
    <w:sig w:usb0="A00002EF" w:usb1="4000207B" w:usb2="00000000" w:usb3="00000000" w:csb0="FFFFFFFF" w:csb1="00000000"/>
  </w:font>
  <w:font w:name="微软雅黑">
    <w:panose1 w:val="020F0502020204030204"/>
    <w:charset w:val="0"/>
    <w:family w:val="mordern"/>
    <w:pitch w:val="variable"/>
    <w:sig w:usb0="A00002EF" w:usb1="4000207B" w:usb2="00000000" w:usb3="00000000" w:csb0="FFFFFFFF" w:csb1="00000000"/>
  </w:font>
  <w:font w:name="仿宋_GB2312">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 w:name="华文仿宋">
    <w:panose1 w:val="020F0502020204030204"/>
    <w:charset w:val="0"/>
    <w:family w:val="mordern"/>
    <w:pitch w:val="variable"/>
    <w:sig w:usb0="A00002EF" w:usb1="4000207B" w:usb2="00000000" w:usb3="00000000" w:csb0="FFFFFF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800"/>
  <w:displayHorizontalDrawingGridEvery w:val="0"/>
  <w:displayVerticalDrawingGridEvery w:val="2"/>
  <w:noPunctuationKerning/>
  <w:characterSpacingControl w:val="doNotCompress"/>
  <w:bordersDoNotSurroundHeader/>
  <w:bordersDoNotSurroundFooter/>
  <w:compat w:val="0">
    <w:balanceSingleByteDoubleByteWidth/>
    <w:doNotExpandShiftReturn/>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tylePaneFormatFilter w:val="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jc w:val="both"/>
        <w:widowControl/>
        <w:wordWrap/>
      </w:pPr>
    </w:pPrDefault>
    <w:rPrDefault>
      <w:rPr>
        <w:shd w:val="clear"/>
        <w:sz w:val="21"/>
        <w:szCs w:val="21"/>
        <w:w w:val="100"/>
      </w:rPr>
    </w:rPrDefault>
  </w:docDefaults>
  <w:style w:default="1" w:styleId="PO1" w:type="paragraph">
    <w:name w:val="Normal"/>
    <w:link w:val="PO-1"/>
    <w:qFormat/>
    <w:uiPriority w:val="1"/>
    <w:pPr>
      <w:autoSpaceDE w:val="1"/>
      <w:autoSpaceDN w:val="1"/>
      <w:jc w:val="both"/>
      <w:widowControl/>
      <w:wordWrap/>
    </w:pPr>
    <w:rPr>
      <w:shd w:val="clear"/>
      <w:sz w:val="21"/>
      <w:szCs w:val="21"/>
      <w:w w:val="100"/>
    </w:rPr>
  </w:style>
  <w:style w:default="1" w:styleId="PO2" w:type="character">
    <w:name w:val="Default Paragraph Font"/>
    <w:qFormat/>
    <w:uiPriority w:val="2"/>
    <w:semiHidden/>
    <w:unhideWhenUsed/>
    <w:rPr>
      <w:shd w:val="clear"/>
      <w:sz w:val="21"/>
      <w:szCs w:val="21"/>
      <w:w w:val="100"/>
    </w:rPr>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autoSpaceDE w:val="1"/>
      <w:autoSpaceDN w:val="1"/>
      <w:jc w:val="both"/>
      <w:widowControl/>
      <w:wordWrap/>
    </w:pPr>
    <w:rPr>
      <w:rFonts w:ascii="宋体" w:eastAsia="宋体" w:hAnsi="宋体"/>
      <w:shd w:val="clear"/>
      <w:sz w:val="21"/>
      <w:szCs w:val="21"/>
      <w:w w:val="100"/>
    </w:rPr>
  </w:style>
  <w:style w:styleId="PO6" w:type="paragraph">
    <w:name w:val="Title"/>
    <w:link w:val="PO-1"/>
    <w:qFormat/>
    <w:uiPriority w:val="6"/>
    <w:pPr>
      <w:autoSpaceDE w:val="1"/>
      <w:autoSpaceDN w:val="1"/>
      <w:jc w:val="center"/>
      <w:widowControl/>
      <w:wordWrap/>
    </w:pPr>
    <w:rPr>
      <w:b/>
      <w:shd w:val="clear"/>
      <w:sz w:val="32"/>
      <w:szCs w:val="32"/>
      <w:w w:val="100"/>
    </w:rPr>
  </w:style>
  <w:style w:styleId="PO7" w:type="paragraph">
    <w:name w:val="heading 1"/>
    <w:link w:val="PO-1"/>
    <w:qFormat/>
    <w:uiPriority w:val="7"/>
    <w:pPr>
      <w:autoSpaceDE w:val="1"/>
      <w:autoSpaceDN w:val="1"/>
      <w:jc w:val="both"/>
      <w:widowControl/>
      <w:wordWrap/>
    </w:pPr>
    <w:rPr>
      <w:shd w:val="clear"/>
      <w:sz w:val="28"/>
      <w:szCs w:val="28"/>
      <w:w w:val="100"/>
    </w:rPr>
  </w:style>
  <w:style w:styleId="PO8" w:type="paragraph">
    <w:name w:val="heading 2"/>
    <w:link w:val="PO-1"/>
    <w:qFormat/>
    <w:uiPriority w:val="8"/>
    <w:pPr>
      <w:autoSpaceDE w:val="1"/>
      <w:autoSpaceDN w:val="1"/>
      <w:jc w:val="both"/>
      <w:widowControl/>
      <w:wordWrap/>
    </w:pPr>
    <w:rPr>
      <w:shd w:val="clear"/>
      <w:sz w:val="21"/>
      <w:szCs w:val="21"/>
      <w:w w:val="100"/>
    </w:rPr>
  </w:style>
  <w:style w:styleId="PO9" w:type="paragraph">
    <w:name w:val="heading 3"/>
    <w:link w:val="PO-1"/>
    <w:qFormat/>
    <w:uiPriority w:val="9"/>
    <w:pPr>
      <w:autoSpaceDE w:val="1"/>
      <w:autoSpaceDN w:val="1"/>
      <w:ind w:left="1000" w:hanging="400"/>
      <w:jc w:val="both"/>
      <w:widowControl/>
      <w:wordWrap/>
    </w:pPr>
    <w:rPr>
      <w:shd w:val="clear"/>
      <w:sz w:val="21"/>
      <w:szCs w:val="21"/>
      <w:w w:val="100"/>
    </w:rPr>
  </w:style>
  <w:style w:styleId="PO10" w:type="paragraph">
    <w:name w:val="heading 4"/>
    <w:link w:val="PO-1"/>
    <w:qFormat/>
    <w:uiPriority w:val="10"/>
    <w:pPr>
      <w:autoSpaceDE w:val="1"/>
      <w:autoSpaceDN w:val="1"/>
      <w:ind w:left="1200" w:hanging="400"/>
      <w:jc w:val="both"/>
      <w:widowControl/>
      <w:wordWrap/>
    </w:pPr>
    <w:rPr>
      <w:b/>
      <w:shd w:val="clear"/>
      <w:sz w:val="21"/>
      <w:szCs w:val="21"/>
      <w:w w:val="100"/>
    </w:rPr>
  </w:style>
  <w:style w:styleId="PO11" w:type="paragraph">
    <w:name w:val="heading 5"/>
    <w:link w:val="PO-1"/>
    <w:qFormat/>
    <w:uiPriority w:val="11"/>
    <w:pPr>
      <w:autoSpaceDE w:val="1"/>
      <w:autoSpaceDN w:val="1"/>
      <w:ind w:left="1400" w:hanging="400"/>
      <w:jc w:val="both"/>
      <w:widowControl/>
      <w:wordWrap/>
    </w:pPr>
    <w:rPr>
      <w:shd w:val="clear"/>
      <w:sz w:val="21"/>
      <w:szCs w:val="21"/>
      <w:w w:val="100"/>
    </w:rPr>
  </w:style>
  <w:style w:styleId="PO12" w:type="paragraph">
    <w:name w:val="heading 6"/>
    <w:link w:val="PO-1"/>
    <w:qFormat/>
    <w:uiPriority w:val="12"/>
    <w:pPr>
      <w:autoSpaceDE w:val="1"/>
      <w:autoSpaceDN w:val="1"/>
      <w:ind w:left="1600" w:hanging="400"/>
      <w:jc w:val="both"/>
      <w:widowControl/>
      <w:wordWrap/>
    </w:pPr>
    <w:rPr>
      <w:b/>
      <w:shd w:val="clear"/>
      <w:sz w:val="21"/>
      <w:szCs w:val="21"/>
      <w:w w:val="100"/>
    </w:rPr>
  </w:style>
  <w:style w:styleId="PO13" w:type="paragraph">
    <w:name w:val="heading 7"/>
    <w:link w:val="PO-1"/>
    <w:qFormat/>
    <w:uiPriority w:val="13"/>
    <w:pPr>
      <w:autoSpaceDE w:val="1"/>
      <w:autoSpaceDN w:val="1"/>
      <w:ind w:left="1800" w:hanging="400"/>
      <w:jc w:val="both"/>
      <w:widowControl/>
      <w:wordWrap/>
    </w:pPr>
    <w:rPr>
      <w:shd w:val="clear"/>
      <w:sz w:val="21"/>
      <w:szCs w:val="21"/>
      <w:w w:val="100"/>
    </w:rPr>
  </w:style>
  <w:style w:styleId="PO14" w:type="paragraph">
    <w:name w:val="heading 8"/>
    <w:link w:val="PO-1"/>
    <w:qFormat/>
    <w:uiPriority w:val="14"/>
    <w:pPr>
      <w:autoSpaceDE w:val="1"/>
      <w:autoSpaceDN w:val="1"/>
      <w:ind w:left="2000" w:hanging="400"/>
      <w:jc w:val="both"/>
      <w:widowControl/>
      <w:wordWrap/>
    </w:pPr>
    <w:rPr>
      <w:shd w:val="clear"/>
      <w:sz w:val="21"/>
      <w:szCs w:val="21"/>
      <w:w w:val="100"/>
    </w:rPr>
  </w:style>
  <w:style w:styleId="PO15" w:type="paragraph">
    <w:name w:val="heading 9"/>
    <w:link w:val="PO-1"/>
    <w:qFormat/>
    <w:uiPriority w:val="15"/>
    <w:pPr>
      <w:autoSpaceDE w:val="1"/>
      <w:autoSpaceDN w:val="1"/>
      <w:ind w:left="2200" w:hanging="400"/>
      <w:jc w:val="both"/>
      <w:widowControl/>
      <w:wordWrap/>
    </w:pPr>
    <w:rPr>
      <w:shd w:val="clear"/>
      <w:sz w:val="21"/>
      <w:szCs w:val="21"/>
      <w:w w:val="100"/>
    </w:rPr>
  </w:style>
  <w:style w:styleId="PO16" w:type="paragraph">
    <w:name w:val="Subtitle"/>
    <w:link w:val="PO-1"/>
    <w:qFormat/>
    <w:uiPriority w:val="16"/>
    <w:pPr>
      <w:autoSpaceDE w:val="1"/>
      <w:autoSpaceDN w:val="1"/>
      <w:jc w:val="center"/>
      <w:widowControl/>
      <w:wordWrap/>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autoSpaceDE w:val="1"/>
      <w:autoSpaceDN w:val="1"/>
      <w:ind w:left="864" w:right="864" w:firstLine="0"/>
      <w:jc w:val="center"/>
      <w:widowControl/>
      <w:wordWrap/>
    </w:pPr>
    <w:rPr>
      <w:color w:val="404040"/>
      <w:i/>
      <w:shd w:val="clear"/>
      <w:sz w:val="21"/>
      <w:szCs w:val="21"/>
      <w:w w:val="100"/>
    </w:rPr>
  </w:style>
  <w:style w:styleId="PO22" w:type="paragraph">
    <w:name w:val="Intense Quote"/>
    <w:link w:val="PO-1"/>
    <w:qFormat/>
    <w:uiPriority w:val="22"/>
    <w:pPr>
      <w:autoSpaceDE w:val="1"/>
      <w:autoSpaceDN w:val="1"/>
      <w:ind w:left="950" w:right="950" w:firstLine="0"/>
      <w:jc w:val="center"/>
      <w:widowControl/>
      <w:wordWrap/>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autoSpaceDE w:val="1"/>
      <w:autoSpaceDN w:val="1"/>
      <w:ind w:left="850" w:firstLine="0"/>
      <w:jc w:val="both"/>
      <w:widowControl/>
      <w:wordWrap/>
    </w:pPr>
    <w:rPr>
      <w:shd w:val="clear"/>
      <w:sz w:val="21"/>
      <w:szCs w:val="21"/>
      <w:w w:val="100"/>
    </w:rPr>
  </w:style>
  <w:style w:styleId="PO27" w:type="paragraph">
    <w:name w:val="TOC Heading"/>
    <w:link w:val="PO-1"/>
    <w:qFormat/>
    <w:uiPriority w:val="27"/>
    <w:unhideWhenUsed/>
    <w:pPr>
      <w:autoSpaceDE w:val="1"/>
      <w:autoSpaceDN w:val="1"/>
      <w:widowControl/>
      <w:wordWrap/>
    </w:pPr>
    <w:rPr>
      <w:color w:val="2E74B5"/>
      <w:shd w:val="clear"/>
      <w:sz w:val="32"/>
      <w:szCs w:val="32"/>
      <w:w w:val="100"/>
    </w:rPr>
  </w:style>
  <w:style w:styleId="PO28" w:type="paragraph">
    <w:name w:val="toc 1"/>
    <w:link w:val="PO-1"/>
    <w:qFormat/>
    <w:uiPriority w:val="28"/>
    <w:unhideWhenUsed/>
    <w:pPr>
      <w:autoSpaceDE w:val="1"/>
      <w:autoSpaceDN w:val="1"/>
      <w:jc w:val="both"/>
      <w:widowControl/>
      <w:wordWrap/>
    </w:pPr>
    <w:rPr>
      <w:shd w:val="clear"/>
      <w:sz w:val="21"/>
      <w:szCs w:val="21"/>
      <w:w w:val="100"/>
    </w:rPr>
  </w:style>
  <w:style w:styleId="PO29" w:type="paragraph">
    <w:name w:val="toc 2"/>
    <w:link w:val="PO-1"/>
    <w:qFormat/>
    <w:uiPriority w:val="29"/>
    <w:unhideWhenUsed/>
    <w:pPr>
      <w:autoSpaceDE w:val="1"/>
      <w:autoSpaceDN w:val="1"/>
      <w:ind w:left="425" w:firstLine="0"/>
      <w:jc w:val="both"/>
      <w:widowControl/>
      <w:wordWrap/>
    </w:pPr>
    <w:rPr>
      <w:shd w:val="clear"/>
      <w:sz w:val="21"/>
      <w:szCs w:val="21"/>
      <w:w w:val="100"/>
    </w:rPr>
  </w:style>
  <w:style w:styleId="PO30" w:type="paragraph">
    <w:name w:val="toc 3"/>
    <w:link w:val="PO-1"/>
    <w:qFormat/>
    <w:uiPriority w:val="30"/>
    <w:unhideWhenUsed/>
    <w:pPr>
      <w:autoSpaceDE w:val="1"/>
      <w:autoSpaceDN w:val="1"/>
      <w:ind w:left="850" w:firstLine="0"/>
      <w:jc w:val="both"/>
      <w:widowControl/>
      <w:wordWrap/>
    </w:pPr>
    <w:rPr>
      <w:shd w:val="clear"/>
      <w:sz w:val="21"/>
      <w:szCs w:val="21"/>
      <w:w w:val="100"/>
    </w:rPr>
  </w:style>
  <w:style w:styleId="PO31" w:type="paragraph">
    <w:name w:val="toc 4"/>
    <w:link w:val="PO-1"/>
    <w:qFormat/>
    <w:uiPriority w:val="31"/>
    <w:unhideWhenUsed/>
    <w:pPr>
      <w:autoSpaceDE w:val="1"/>
      <w:autoSpaceDN w:val="1"/>
      <w:ind w:left="1275" w:firstLine="0"/>
      <w:jc w:val="both"/>
      <w:widowControl/>
      <w:wordWrap/>
    </w:pPr>
    <w:rPr>
      <w:shd w:val="clear"/>
      <w:sz w:val="21"/>
      <w:szCs w:val="21"/>
      <w:w w:val="100"/>
    </w:rPr>
  </w:style>
  <w:style w:styleId="PO32" w:type="paragraph">
    <w:name w:val="toc 5"/>
    <w:link w:val="PO-1"/>
    <w:qFormat/>
    <w:uiPriority w:val="32"/>
    <w:unhideWhenUsed/>
    <w:pPr>
      <w:autoSpaceDE w:val="1"/>
      <w:autoSpaceDN w:val="1"/>
      <w:ind w:left="1700" w:firstLine="0"/>
      <w:jc w:val="both"/>
      <w:widowControl/>
      <w:wordWrap/>
    </w:pPr>
    <w:rPr>
      <w:shd w:val="clear"/>
      <w:sz w:val="21"/>
      <w:szCs w:val="21"/>
      <w:w w:val="100"/>
    </w:rPr>
  </w:style>
  <w:style w:styleId="PO33" w:type="paragraph">
    <w:name w:val="toc 6"/>
    <w:link w:val="PO-1"/>
    <w:qFormat/>
    <w:uiPriority w:val="33"/>
    <w:unhideWhenUsed/>
    <w:pPr>
      <w:autoSpaceDE w:val="1"/>
      <w:autoSpaceDN w:val="1"/>
      <w:ind w:left="2125" w:firstLine="0"/>
      <w:jc w:val="both"/>
      <w:widowControl/>
      <w:wordWrap/>
    </w:pPr>
    <w:rPr>
      <w:shd w:val="clear"/>
      <w:sz w:val="21"/>
      <w:szCs w:val="21"/>
      <w:w w:val="100"/>
    </w:rPr>
  </w:style>
  <w:style w:styleId="PO34" w:type="paragraph">
    <w:name w:val="toc 7"/>
    <w:link w:val="PO-1"/>
    <w:qFormat/>
    <w:uiPriority w:val="34"/>
    <w:unhideWhenUsed/>
    <w:pPr>
      <w:autoSpaceDE w:val="1"/>
      <w:autoSpaceDN w:val="1"/>
      <w:ind w:left="2550" w:firstLine="0"/>
      <w:jc w:val="both"/>
      <w:widowControl/>
      <w:wordWrap/>
    </w:pPr>
    <w:rPr>
      <w:shd w:val="clear"/>
      <w:sz w:val="21"/>
      <w:szCs w:val="21"/>
      <w:w w:val="100"/>
    </w:rPr>
  </w:style>
  <w:style w:styleId="PO35" w:type="paragraph">
    <w:name w:val="toc 8"/>
    <w:link w:val="PO-1"/>
    <w:qFormat/>
    <w:uiPriority w:val="35"/>
    <w:unhideWhenUsed/>
    <w:pPr>
      <w:autoSpaceDE w:val="1"/>
      <w:autoSpaceDN w:val="1"/>
      <w:ind w:left="2975" w:firstLine="0"/>
      <w:jc w:val="both"/>
      <w:widowControl/>
      <w:wordWrap/>
    </w:pPr>
    <w:rPr>
      <w:shd w:val="clear"/>
      <w:sz w:val="21"/>
      <w:szCs w:val="21"/>
      <w:w w:val="100"/>
    </w:rPr>
  </w:style>
  <w:style w:styleId="PO36" w:type="paragraph">
    <w:name w:val="toc 9"/>
    <w:link w:val="PO-1"/>
    <w:qFormat/>
    <w:uiPriority w:val="36"/>
    <w:unhideWhenUsed/>
    <w:pPr>
      <w:autoSpaceDE w:val="1"/>
      <w:autoSpaceDN w:val="1"/>
      <w:ind w:left="3400" w:firstLine="0"/>
      <w:jc w:val="both"/>
      <w:widowControl/>
      <w:wordWrap/>
    </w:pPr>
    <w:rPr>
      <w:shd w:val="clear"/>
      <w:sz w:val="21"/>
      <w:szCs w:val="21"/>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5</Pages>
  <Paragraphs>0</Paragraphs>
  <Words>55</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ModifiedBy/>
</cp:coreProperties>
</file>